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E07AC" w:rsidRDefault="00CE07A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E07AC" w:rsidRDefault="00CE07A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E07AC" w:rsidRDefault="00CE07A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E07AC" w:rsidRPr="00CE07AC" w:rsidRDefault="00CE07AC" w:rsidP="00CE07AC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Egr. Sig.</w:t>
      </w:r>
    </w:p>
    <w:p w:rsidR="00CE07AC" w:rsidRPr="00CE07AC" w:rsidRDefault="00CE07AC" w:rsidP="00CE07AC">
      <w:pPr>
        <w:spacing w:after="0"/>
        <w:ind w:left="4956" w:firstLine="708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0" w:name="Testo22"/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separate"/>
      </w:r>
      <w:r w:rsidR="00D24EEE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fldChar w:fldCharType="end"/>
      </w:r>
      <w:bookmarkEnd w:id="0"/>
    </w:p>
    <w:p w:rsidR="00CE07AC" w:rsidRPr="00CE07AC" w:rsidRDefault="00CE07AC" w:rsidP="00CE07AC">
      <w:pPr>
        <w:spacing w:after="0"/>
        <w:ind w:left="4239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bookmarkStart w:id="1" w:name="Testo2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       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="00D24EEE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1"/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ab/>
      </w:r>
    </w:p>
    <w:bookmarkStart w:id="2" w:name="Testo3"/>
    <w:p w:rsidR="00CE07AC" w:rsidRPr="00CE07AC" w:rsidRDefault="00CE07AC" w:rsidP="00CE07AC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="00D24EEE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2"/>
    </w:p>
    <w:p w:rsidR="00CE07AC" w:rsidRPr="00CE07AC" w:rsidRDefault="00CE07AC" w:rsidP="00CE07AC">
      <w:pPr>
        <w:spacing w:after="0"/>
        <w:ind w:left="4956" w:firstLine="70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C.F.:  </w:t>
      </w:r>
      <w:bookmarkStart w:id="3" w:name="Testo4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3"/>
    </w:p>
    <w:p w:rsidR="00CE07AC" w:rsidRPr="00CE07AC" w:rsidRDefault="00CE07AC" w:rsidP="00CE07AC">
      <w:pPr>
        <w:spacing w:before="240" w:after="60"/>
        <w:outlineLvl w:val="4"/>
        <w:rPr>
          <w:rFonts w:ascii="Verdana" w:eastAsia="Meiryo UI" w:hAnsi="Verdana" w:cs="Utsaah"/>
          <w:bCs/>
          <w:iCs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bCs/>
          <w:iCs/>
          <w:color w:val="17365D" w:themeColor="text2" w:themeShade="BF"/>
          <w:sz w:val="18"/>
          <w:szCs w:val="18"/>
          <w:lang w:eastAsia="it-IT"/>
        </w:rPr>
        <w:t xml:space="preserve">Monza, </w:t>
      </w:r>
      <w:r w:rsidRPr="00CE07AC">
        <w:rPr>
          <w:rFonts w:ascii="Verdana" w:eastAsia="Meiryo UI" w:hAnsi="Verdana" w:cs="Utsaah"/>
          <w:bCs/>
          <w:iCs/>
          <w:color w:val="17365D" w:themeColor="text2" w:themeShade="BF"/>
          <w:sz w:val="18"/>
          <w:szCs w:val="18"/>
          <w:lang w:eastAsia="it-IT"/>
        </w:rPr>
        <w:fldChar w:fldCharType="begin"/>
      </w:r>
      <w:r w:rsidRPr="00CE07AC">
        <w:rPr>
          <w:rFonts w:ascii="Verdana" w:eastAsia="Meiryo UI" w:hAnsi="Verdana" w:cs="Utsaah"/>
          <w:bCs/>
          <w:iCs/>
          <w:color w:val="17365D" w:themeColor="text2" w:themeShade="BF"/>
          <w:sz w:val="18"/>
          <w:szCs w:val="18"/>
          <w:lang w:eastAsia="it-IT"/>
        </w:rPr>
        <w:instrText xml:space="preserve"> TIME \@ "d MMMM yyyy" </w:instrText>
      </w:r>
      <w:r w:rsidRPr="00CE07AC">
        <w:rPr>
          <w:rFonts w:ascii="Verdana" w:eastAsia="Meiryo UI" w:hAnsi="Verdana" w:cs="Utsaah"/>
          <w:bCs/>
          <w:iCs/>
          <w:color w:val="17365D" w:themeColor="text2" w:themeShade="BF"/>
          <w:sz w:val="18"/>
          <w:szCs w:val="18"/>
          <w:lang w:eastAsia="it-IT"/>
        </w:rPr>
        <w:fldChar w:fldCharType="separate"/>
      </w:r>
      <w:r w:rsidR="00F72CE3">
        <w:rPr>
          <w:rFonts w:ascii="Verdana" w:eastAsia="Meiryo UI" w:hAnsi="Verdana" w:cs="Utsaah"/>
          <w:bCs/>
          <w:iCs/>
          <w:noProof/>
          <w:color w:val="17365D" w:themeColor="text2" w:themeShade="BF"/>
          <w:sz w:val="18"/>
          <w:szCs w:val="18"/>
          <w:lang w:eastAsia="it-IT"/>
        </w:rPr>
        <w:t>2 aprile 2016</w:t>
      </w:r>
      <w:r w:rsidRPr="00CE07AC">
        <w:rPr>
          <w:rFonts w:ascii="Verdana" w:eastAsia="Meiryo UI" w:hAnsi="Verdana" w:cs="Utsaah"/>
          <w:bCs/>
          <w:iCs/>
          <w:color w:val="17365D" w:themeColor="text2" w:themeShade="BF"/>
          <w:sz w:val="18"/>
          <w:szCs w:val="18"/>
          <w:lang w:eastAsia="it-IT"/>
        </w:rPr>
        <w:fldChar w:fldCharType="end"/>
      </w:r>
    </w:p>
    <w:p w:rsidR="00CE07AC" w:rsidRPr="00CE07AC" w:rsidRDefault="00CE07AC" w:rsidP="00CE07AC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9648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8"/>
      </w:tblGrid>
      <w:tr w:rsidR="00CE07AC" w:rsidRPr="00CE07AC" w:rsidTr="00D1397D">
        <w:trPr>
          <w:trHeight w:val="220"/>
        </w:trPr>
        <w:tc>
          <w:tcPr>
            <w:tcW w:w="9648" w:type="dxa"/>
            <w:tcBorders>
              <w:bottom w:val="single" w:sz="12" w:space="0" w:color="000000"/>
            </w:tcBorders>
          </w:tcPr>
          <w:p w:rsidR="00CE07AC" w:rsidRPr="00CE07AC" w:rsidRDefault="00CE07AC" w:rsidP="00D1397D">
            <w:pPr>
              <w:keepNext/>
              <w:spacing w:after="0"/>
              <w:ind w:left="142"/>
              <w:jc w:val="center"/>
              <w:outlineLvl w:val="1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 xml:space="preserve">CASAMIA </w:t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2"/>
                <w:szCs w:val="18"/>
                <w:lang w:eastAsia="it-IT"/>
              </w:rPr>
              <w:t>(mod. 5420 INC)</w:t>
            </w:r>
          </w:p>
        </w:tc>
      </w:tr>
    </w:tbl>
    <w:p w:rsidR="00CE07AC" w:rsidRPr="00CE07AC" w:rsidRDefault="00CE07AC" w:rsidP="00CE07AC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p w:rsidR="00CE07AC" w:rsidRPr="00CE07AC" w:rsidRDefault="00CE07AC" w:rsidP="00CE07AC">
      <w:pPr>
        <w:numPr>
          <w:ilvl w:val="0"/>
          <w:numId w:val="20"/>
        </w:numPr>
        <w:tabs>
          <w:tab w:val="num" w:pos="502"/>
        </w:tabs>
        <w:spacing w:after="0"/>
        <w:ind w:left="50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Ubicazioni: </w:t>
      </w:r>
    </w:p>
    <w:p w:rsidR="00CE07AC" w:rsidRPr="00CE07AC" w:rsidRDefault="00CE07AC" w:rsidP="00CE07AC">
      <w:pPr>
        <w:numPr>
          <w:ilvl w:val="0"/>
          <w:numId w:val="23"/>
        </w:num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" w:name="Testo25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>Monza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4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– Dimora </w:t>
      </w:r>
      <w:bookmarkStart w:id="5" w:name="Elenco4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Elenco4"/>
            <w:enabled/>
            <w:calcOnExit w:val="0"/>
            <w:ddList>
              <w:listEntry w:val="abituale"/>
              <w:listEntry w:val="saltuar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5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Tipologia: </w:t>
      </w:r>
      <w:bookmarkStart w:id="6" w:name="Elenco5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Elenco5"/>
            <w:enabled/>
            <w:calcOnExit w:val="0"/>
            <w:ddList>
              <w:listEntry w:val="più famiglie"/>
              <w:listEntry w:val="una sola famigl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bookmarkEnd w:id="6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Piano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>3°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</w:p>
    <w:p w:rsidR="00CE07AC" w:rsidRPr="00CE07AC" w:rsidRDefault="00CE07AC" w:rsidP="00CE07AC">
      <w:pPr>
        <w:numPr>
          <w:ilvl w:val="0"/>
          <w:numId w:val="23"/>
        </w:num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– Dimora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ddList>
              <w:result w:val="2"/>
              <w:listEntry w:val="abituale"/>
              <w:listEntry w:val="saltuar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Tipologia: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ddList>
              <w:result w:val="2"/>
              <w:listEntry w:val="più famiglie"/>
              <w:listEntry w:val="una sola famigl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Piano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</w:p>
    <w:p w:rsidR="00CE07AC" w:rsidRPr="00CE07AC" w:rsidRDefault="00CE07AC" w:rsidP="00CE07AC">
      <w:pPr>
        <w:numPr>
          <w:ilvl w:val="0"/>
          <w:numId w:val="23"/>
        </w:num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– Dimora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ddList>
              <w:result w:val="2"/>
              <w:listEntry w:val="abituale"/>
              <w:listEntry w:val="saltuar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Tipologia: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ddList>
              <w:result w:val="2"/>
              <w:listEntry w:val="più famiglie"/>
              <w:listEntry w:val="una sola famigl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Piano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</w:p>
    <w:p w:rsidR="00CE07AC" w:rsidRPr="00CE07AC" w:rsidRDefault="00CE07AC" w:rsidP="00CE07AC">
      <w:pPr>
        <w:numPr>
          <w:ilvl w:val="0"/>
          <w:numId w:val="23"/>
        </w:num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– Dimora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ddList>
              <w:result w:val="2"/>
              <w:listEntry w:val="abituale"/>
              <w:listEntry w:val="saltuar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Tipologia: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ddList>
              <w:result w:val="2"/>
              <w:listEntry w:val="più famiglie"/>
              <w:listEntry w:val="una sola famigl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Piano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</w:p>
    <w:p w:rsidR="00CE07AC" w:rsidRPr="00CE07AC" w:rsidRDefault="00CE07AC" w:rsidP="00CE07AC">
      <w:pPr>
        <w:numPr>
          <w:ilvl w:val="0"/>
          <w:numId w:val="23"/>
        </w:numPr>
        <w:spacing w:after="0"/>
        <w:ind w:right="134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bookmarkStart w:id="7" w:name="_GoBack"/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bookmarkEnd w:id="7"/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– Dimora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ddList>
              <w:result w:val="2"/>
              <w:listEntry w:val="abituale"/>
              <w:listEntry w:val="saltuar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Tipologia: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ddList>
              <w:result w:val="2"/>
              <w:listEntry w:val="più famiglie"/>
              <w:listEntry w:val="una sola famiglia"/>
              <w:listEntry w:val="non assicurata"/>
            </w:ddList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FORMDROPDOWN </w:instrText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="003E3965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- Piano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instrText xml:space="preserve"> FORMTEXT </w:instrTex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separate"/>
      </w:r>
      <w:r w:rsidRPr="00CE07AC">
        <w:rPr>
          <w:rFonts w:ascii="Verdana" w:eastAsia="Meiryo UI" w:hAnsi="Verdana" w:cs="Utsaah"/>
          <w:noProof/>
          <w:color w:val="17365D" w:themeColor="text2" w:themeShade="BF"/>
          <w:sz w:val="18"/>
          <w:szCs w:val="18"/>
          <w:lang w:eastAsia="it-IT"/>
        </w:rPr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fldChar w:fldCharType="end"/>
      </w:r>
    </w:p>
    <w:p w:rsidR="00CE07AC" w:rsidRPr="00CE07AC" w:rsidRDefault="00CE07AC" w:rsidP="00CE07A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  <w:t xml:space="preserve"> 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  <w:t xml:space="preserve"> </w:t>
      </w:r>
    </w:p>
    <w:tbl>
      <w:tblPr>
        <w:tblW w:w="9799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9"/>
        <w:gridCol w:w="160"/>
      </w:tblGrid>
      <w:tr w:rsidR="00CE07AC" w:rsidRPr="00CE07AC" w:rsidTr="00D1397D">
        <w:trPr>
          <w:gridAfter w:val="1"/>
          <w:wAfter w:w="160" w:type="dxa"/>
          <w:cantSplit/>
        </w:trPr>
        <w:tc>
          <w:tcPr>
            <w:tcW w:w="9639" w:type="dxa"/>
            <w:tcBorders>
              <w:bottom w:val="single" w:sz="12" w:space="0" w:color="000000"/>
            </w:tcBorders>
          </w:tcPr>
          <w:p w:rsidR="00CE07AC" w:rsidRPr="00CE07AC" w:rsidRDefault="00CE07AC" w:rsidP="00D1397D">
            <w:pPr>
              <w:keepNext/>
              <w:spacing w:before="240" w:after="60"/>
              <w:outlineLvl w:val="3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SEZIONE INCENDIO E COMPLEMENTARI</w:t>
            </w:r>
          </w:p>
        </w:tc>
      </w:tr>
      <w:tr w:rsidR="00CE07AC" w:rsidRPr="00CE07AC" w:rsidTr="00D1397D">
        <w:tc>
          <w:tcPr>
            <w:tcW w:w="9639" w:type="dxa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Fabbricato: valore di ricostruzione a nuovo, esclusa l’area</w:t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Contenuto: valore di rimpiazzo a nuovo</w:t>
            </w:r>
          </w:p>
          <w:p w:rsidR="00CE07AC" w:rsidRPr="00CE07AC" w:rsidRDefault="00CE07AC" w:rsidP="00CE07A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Fabbricato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400.000,00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Ricorso terzi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A – Eventi socio-politici (max 50% del fabbricato e contenuto per terrorismo)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B – Eventi atmosferici (scoperto 10% minimo € 200; elevato al 30% per fabbricati aperti ai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lati; max € 2.000 per grandine su lucernari manufatti in plastica)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C – Fenomeno elettrico (franchigia € 250; ridotta a € 150 per beni acquistati entro due anni)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D – Spargimenti di acqua, occlusioni, gelo max € 2.500, rigurgito rete fognaria max € 2.000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(max € 30.000), danni per rottura accidentale di apparecchi domestici max € 1.000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 – Ricerca del guasto in seguito a spargimenti di acqua (max 3 pro-mille del fabbricato con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il minimo € 1.500; “canal jet” per occlusioni max € 250)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F – Impianti fotovoltaici/solari termici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€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 operante"/>
                    <w:listEntry w:val="10.000,00"/>
                    <w:listEntry w:val="15.000,00"/>
                    <w:listEntry w:val="20.000,00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(aumento 10% se fabbricato di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classe energetica A o A+); scoperto 5% minimo € 200; eventi atmosferici scoperto 10%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minimo € 500; fenomeno elettrico scoperto 5% minimo € 500 e  max 15% somma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ass.ta; eventi socio-politici scoperto 5% minimo € 300.</w:t>
            </w:r>
          </w:p>
          <w:p w:rsidR="00CE07AC" w:rsidRPr="00CE07AC" w:rsidRDefault="00CE07AC" w:rsidP="00CE07A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Fabbricato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Ricorso terzi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A – Eventi socio-politici (max 50% del fabbricato e contenuto per terrorismo)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B – Eventi atmosferici (scoperto 10% minimo € 200; elevato al 30% per fabbricati aperti ai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lati; max € 2.000 per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grandine su lucernari manufatti in plastica)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C – Fenomeno elettrico (franchigia € 250; ridotta a € 150 per beni acquistati entro due anni)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D – Spargimenti di acqua, occlusioni, gelo max € 2.500, rigurgito rete fognaria max € 2.000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(max € 30.000), danni per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rottura accidentale di apparecchi domestici max € 1.000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 – Ricerca del guasto in seguito a spargimenti di acqua (max 3 pro-mille del fabbricato con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il minimo € 1.500; “canal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jet” per occlusioni max € 250)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F – Impianti fotovoltaici/solari termici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€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 operante"/>
                    <w:listEntry w:val="10.000,00"/>
                    <w:listEntry w:val="15.000,00"/>
                    <w:listEntry w:val="20.000,00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(aumento 10% se fabbricato di </w:t>
            </w:r>
          </w:p>
          <w:p w:rsidR="001D6776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classe energetica A o A+);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scoperto 5% minimo € 200; eventi atmosferici scoperto 10%</w:t>
            </w:r>
          </w:p>
          <w:p w:rsidR="001D6776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minimo € 500; fenomeno elettrico scoperto 5% minimo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€ 500 e max 15% somma ass.ta;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eventi socio-politici scoperto 5% minimo € 300.</w:t>
            </w:r>
          </w:p>
          <w:p w:rsidR="00CE07AC" w:rsidRPr="00CE07AC" w:rsidRDefault="00CE07AC" w:rsidP="00CE07A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Fabbricato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Ricorso terzi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A – Eventi socio-politici (max 50% del fabbricato e contenuto per terrorismo)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B – Eventi atmosferici (scoperto 10% minimo € 200; elevato al 30% per fabbricati aperti ai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lati; max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€ 2.000 per grandine su lucernari manufatti in plastica)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C – Fenomeno elettrico (franchigia € 250; ridotta a € 150 per beni acquistati entro due anni)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D – Spargimenti di acqua, occlusioni, gelo max € 2.500, rigurgito rete fognaria max € 2.000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(max € 30.000), danni per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rottura accidentale di apparecchi domestici max € 1.000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 – Ricerca del guasto in seguito a spargimenti di acqua (max 3 pro-mille del fabbricato con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il minimo € 1.500; “canal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jet” per occlusioni max € 250)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F – Impianti fotovoltaici/solari termici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€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 operante"/>
                    <w:listEntry w:val="10.000,00"/>
                    <w:listEntry w:val="15.000,00"/>
                    <w:listEntry w:val="20.000,00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(aumento 10% se fabbricato di </w:t>
            </w:r>
          </w:p>
          <w:p w:rsidR="001D6776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classe energetica A o A+);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scoperto 5% minimo € 200; eventi atmosferici scoperto 10%</w:t>
            </w:r>
          </w:p>
          <w:p w:rsidR="001D6776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minimo € 500; fenomeno elettrico scoperto 5% minimo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€ 500 e max 15% somma ass.ta;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eventi socio-politici scoperto 5% minimo € 300.</w:t>
            </w:r>
          </w:p>
          <w:p w:rsidR="00CE07AC" w:rsidRPr="00CE07AC" w:rsidRDefault="00CE07AC" w:rsidP="00CE07A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Fabbricato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Ricorso terzi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A – Eventi socio-politici (max 50% del fabbricato e contenuto per terrorismo)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B – Eventi atmosferici (scoperto 10% minimo € 200; elevato al 30% per fabbricati aperti ai 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lati; max € 2.000 per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grandine su lucernari manufatti in plastica)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C – Fenomeno elettrico (franchigia € 250; ridotta a € 150 per beni acquistati entro due anni)</w:t>
            </w:r>
          </w:p>
          <w:p w:rsidR="001D6776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D – Spargimenti di acqua, occlusioni, gelo max € 2.500, rigurgito rete fognaria max € 2.000</w:t>
            </w:r>
          </w:p>
          <w:p w:rsidR="00CE07AC" w:rsidRPr="00CE07AC" w:rsidRDefault="001D6776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(max € 30.000), danni per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rottura accidentale di apparecchi domestici max € 1.000</w:t>
            </w:r>
          </w:p>
          <w:p w:rsidR="00FD196E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 – Ricerca del guasto in seguito a spargimenti di acqua (max 3 pro-mille del fabbricato con</w:t>
            </w:r>
          </w:p>
          <w:p w:rsidR="00CE07AC" w:rsidRPr="00CE07AC" w:rsidRDefault="00FD196E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il minimo € 1.500; “canal</w:t>
            </w:r>
            <w:r w:rsidR="001D6776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j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et” per occlusioni max € 250)</w:t>
            </w:r>
          </w:p>
          <w:p w:rsidR="00FD196E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F – Impianti fotovoltaici/solari termici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€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 operante"/>
                    <w:listEntry w:val="10.000,00"/>
                    <w:listEntry w:val="15.000,00"/>
                    <w:listEntry w:val="20.000,00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(aumento 10% se fabbricato di</w:t>
            </w:r>
          </w:p>
          <w:p w:rsidR="00FD196E" w:rsidRDefault="00FD196E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classe energetica A o A+); scoperto 5% minimo € 200; eventi atmosferici scoperto 10%</w:t>
            </w:r>
          </w:p>
          <w:p w:rsidR="00FD196E" w:rsidRDefault="00FD196E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minimo € 500; fenomeno elettrico scoperto 5% minimo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€ 500 e max 15% somma ass.ta;</w:t>
            </w:r>
          </w:p>
          <w:p w:rsidR="00CE07AC" w:rsidRPr="00CE07AC" w:rsidRDefault="00FD196E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eventi socio-politici scoperto 5% minimo € 300.</w:t>
            </w:r>
          </w:p>
          <w:p w:rsidR="00CE07AC" w:rsidRPr="00CE07AC" w:rsidRDefault="00CE07AC" w:rsidP="00CE07AC">
            <w:pPr>
              <w:numPr>
                <w:ilvl w:val="0"/>
                <w:numId w:val="24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Fabbricato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–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Ricorso terzi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A – Eventi socio-politici (max 50% del fabbricato e contenuto per terrorismo)</w:t>
            </w:r>
          </w:p>
          <w:p w:rsidR="00FD196E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B – Eventi atmosferici (scoperto 10% minimo € 200; elevato al 30% per fabbricati aperti ai </w:t>
            </w:r>
          </w:p>
          <w:p w:rsidR="00CE07AC" w:rsidRPr="00CE07AC" w:rsidRDefault="00FD196E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lati; max € 2.000 per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grandine su lucernari manufatti in plastica)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C – Fenomeno elettrico (franchigia € 250; ridotta a € 150 per beni acquistati entro due anni)</w:t>
            </w:r>
          </w:p>
          <w:p w:rsidR="00FD196E" w:rsidRDefault="00CE07AC" w:rsidP="00FD196E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D – Spargimenti di acqua, occlusioni, gelo max € 2.500, rigurgito rete fognaria max € 2.000 </w:t>
            </w:r>
          </w:p>
          <w:p w:rsidR="00CE07AC" w:rsidRPr="00CE07AC" w:rsidRDefault="00FD196E" w:rsidP="00FD196E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(max € 30.000), danni per rottura accidentale di apparecchi domestici max € 1.000</w:t>
            </w:r>
          </w:p>
          <w:p w:rsidR="00FD196E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 – Ricerca del guasto in seguito a spargimenti di acqua (max 3 pro-mille del fabbricato con</w:t>
            </w:r>
          </w:p>
          <w:p w:rsidR="00CE07AC" w:rsidRPr="00CE07AC" w:rsidRDefault="00FD196E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il minimo € 1.500; “canal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jet” per occlusioni max € 250)</w:t>
            </w:r>
          </w:p>
          <w:p w:rsidR="00FD196E" w:rsidRDefault="00CE07AC" w:rsidP="00FD196E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F – Impianti fotovoltaici/solari termici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€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 operante"/>
                    <w:listEntry w:val="10.000,00"/>
                    <w:listEntry w:val="15.000,00"/>
                    <w:listEntry w:val="20.000,00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(aumento 10% se fabbricato di </w:t>
            </w:r>
          </w:p>
          <w:p w:rsidR="00FD196E" w:rsidRDefault="00FD196E" w:rsidP="00FD196E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classe energetica A o A+);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scoperto 5% minimo € 200; eventi atmosferici scoperto 10%</w:t>
            </w:r>
          </w:p>
          <w:p w:rsidR="00FD196E" w:rsidRDefault="00FD196E" w:rsidP="00FD196E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minimo € 500; fenomeno elettrico scoperto 5% minimo</w:t>
            </w: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€ 500 e max 15% somma ass.ta;</w:t>
            </w:r>
          </w:p>
          <w:p w:rsidR="00CE07AC" w:rsidRPr="00CE07AC" w:rsidRDefault="00FD196E" w:rsidP="00FD196E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eventi socio-politici scoperto 5% minimo € 300.</w:t>
            </w:r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CE07AC" w:rsidRPr="00CE07AC" w:rsidTr="00D1397D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lastRenderedPageBreak/>
              <w:t>Garanzia base: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incendio, fulmine, esplosione, scoppio; 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caduta aerei, urto veicoli, onda sonica, rovina di ascensori;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sovraccarico di neve (max 30% del fabbricato e del contenuto);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rimpiazzo combustibile, fumi, gas e vapori;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furto di fissi ed infissi delle parti comuni e danni agli stessi causati dai ladri;</w:t>
            </w:r>
          </w:p>
          <w:p w:rsidR="00CE07AC" w:rsidRPr="00CE07AC" w:rsidRDefault="00CE07AC" w:rsidP="00F2082B">
            <w:pPr>
              <w:numPr>
                <w:ilvl w:val="0"/>
                <w:numId w:val="19"/>
              </w:numPr>
              <w:spacing w:after="0"/>
              <w:ind w:right="-212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rottura e  ricerca del guasto delle tubazioni del gas (max 3 pro-mille del fabbricato minimo € </w:t>
            </w:r>
            <w:r w:rsidR="00F2082B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1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.000);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oggetti, vestiario, preziosi e valori in villeggiatura in Europa (max 10% del contenuto e solo per dimora abituale);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vitto e alloggio per sopralluoghi peritali (max 10% del contenuto e solo per dimora saltuaria);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spese di demolizione e sgombero dei residui del sinistro (fino al 10% del fabbricato e contenuto);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spese di rimozione e ricollocamento (max € 1.500 per anno assicurativo);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bookmarkStart w:id="8" w:name="OLE_LINK1"/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danni indiretti forfettari pari al 10% dell’indennizzo;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indennità aggiuntiva per danni all’auto nel box (€ 1.000);</w:t>
            </w:r>
          </w:p>
          <w:bookmarkEnd w:id="8"/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ricorso terzi da incendio € 50.000;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deroga proporzionale pari al 20%;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colpa grave dell’Assicurato e familiari conviventi, dolo delle persone di cui debba rispondere a norma di legge.</w:t>
            </w:r>
          </w:p>
          <w:p w:rsidR="00CE07AC" w:rsidRPr="00CE07AC" w:rsidRDefault="00CE07AC" w:rsidP="00CE07AC">
            <w:pPr>
              <w:numPr>
                <w:ilvl w:val="0"/>
                <w:numId w:val="19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Franchigia frontale €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ssuna"/>
                    <w:listEntry w:val="500,00"/>
                    <w:listEntry w:val="750,00"/>
                    <w:listEntry w:val="1.000,00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000000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CE07AC" w:rsidRPr="00CE07AC" w:rsidTr="00D1397D">
        <w:tc>
          <w:tcPr>
            <w:tcW w:w="9639" w:type="dxa"/>
            <w:tcBorders>
              <w:top w:val="single" w:sz="6" w:space="0" w:color="000000"/>
            </w:tcBorders>
          </w:tcPr>
          <w:p w:rsidR="00CE07AC" w:rsidRPr="00CE07AC" w:rsidRDefault="00CE07AC" w:rsidP="00D1397D">
            <w:pPr>
              <w:spacing w:before="240" w:after="60"/>
              <w:outlineLvl w:val="6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SEZIONE CRISTALLI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" w:type="dxa"/>
            <w:tcBorders>
              <w:top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CE07AC" w:rsidRPr="00CE07AC" w:rsidTr="00D1397D">
        <w:tc>
          <w:tcPr>
            <w:tcW w:w="9639" w:type="dxa"/>
            <w:tcBorders>
              <w:top w:val="single" w:sz="6" w:space="0" w:color="000000"/>
              <w:bottom w:val="single" w:sz="4" w:space="0" w:color="auto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 primo rischio assoluto:</w:t>
            </w:r>
          </w:p>
          <w:p w:rsidR="00CE07AC" w:rsidRPr="00CE07AC" w:rsidRDefault="00CE07AC" w:rsidP="00CE07A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CE07A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CE07A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CE07A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CE07AC">
            <w:pPr>
              <w:numPr>
                <w:ilvl w:val="0"/>
                <w:numId w:val="25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000000"/>
              <w:bottom w:val="single" w:sz="4" w:space="0" w:color="auto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CE07AC" w:rsidRPr="00CE07AC" w:rsidTr="00D1397D">
        <w:tc>
          <w:tcPr>
            <w:tcW w:w="9639" w:type="dxa"/>
            <w:tcBorders>
              <w:top w:val="single" w:sz="4" w:space="0" w:color="auto"/>
            </w:tcBorders>
          </w:tcPr>
          <w:p w:rsidR="00CE07AC" w:rsidRPr="00CE07AC" w:rsidRDefault="00CE07AC" w:rsidP="00D1397D">
            <w:pPr>
              <w:spacing w:before="240" w:after="60"/>
              <w:outlineLvl w:val="6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SEZIONE FURTO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CE07AC" w:rsidRPr="00CE07AC" w:rsidTr="00D1397D">
        <w:tc>
          <w:tcPr>
            <w:tcW w:w="9639" w:type="dxa"/>
            <w:tcBorders>
              <w:top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CE07AC" w:rsidRPr="00CE07AC" w:rsidRDefault="00CE07AC" w:rsidP="00CE07AC">
            <w:pPr>
              <w:numPr>
                <w:ilvl w:val="0"/>
                <w:numId w:val="2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Forma Globale: 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F2082B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Forma Analitica: a valore intero Contenuto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Preziosi, valori, raccolte, collezioni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Denaro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CE07AC">
            <w:pPr>
              <w:numPr>
                <w:ilvl w:val="0"/>
                <w:numId w:val="2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Forma Globale: 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F2082B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Forma Analitica: a valore intero Contenuto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Preziosi, valori, raccolte, collezioni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Denaro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CE07AC">
            <w:pPr>
              <w:numPr>
                <w:ilvl w:val="0"/>
                <w:numId w:val="2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Forma Globale: 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F2082B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Forma Analitica: a valore intero Contenuto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Preziosi, valori, raccolte, collezioni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Denaro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CE07AC">
            <w:pPr>
              <w:numPr>
                <w:ilvl w:val="0"/>
                <w:numId w:val="2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Forma Globale: 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F2082B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Forma Analitica: a valore intero Contenuto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Preziosi, valori, raccolte, collezioni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Denaro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CE07AC">
            <w:pPr>
              <w:numPr>
                <w:ilvl w:val="0"/>
                <w:numId w:val="26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Forma Globale: Contenuto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imo rischio assoluto"/>
                    <w:listEntry w:val="valore intero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</w:p>
          <w:p w:rsidR="00F2082B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Forma Analitica: a valore intero Contenuto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Preziosi, valori, raccolte, collezioni </w:t>
            </w:r>
          </w:p>
          <w:p w:rsidR="00CE07AC" w:rsidRPr="00CE07AC" w:rsidRDefault="00CE07AC" w:rsidP="00D1397D">
            <w:pPr>
              <w:spacing w:after="0"/>
              <w:ind w:left="72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;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Denaro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A – Scippo a primo rischio assoluta nel Mondo intero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</w:p>
          <w:p w:rsidR="006341FF" w:rsidRDefault="00CE07AC" w:rsidP="006341F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B – Impianti fotovoltaici/solari termici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€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5.000,00"/>
                    <w:listEntry w:val="10.000,00"/>
                    <w:listEntry w:val="15.000,00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(aumento 10% se fabbricato classe energetica A</w:t>
            </w:r>
          </w:p>
          <w:p w:rsidR="00CE07AC" w:rsidRPr="00CE07AC" w:rsidRDefault="006341FF" w:rsidP="006341FF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       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o A+); scoperto 10% minimo € 750 – Installati su ubicazione n°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="00CE07AC" w:rsidRPr="00CE07A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="00CE07AC"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</w:tbl>
    <w:p w:rsidR="00CE07AC" w:rsidRPr="00CE07AC" w:rsidRDefault="00CE07AC" w:rsidP="00CE07AC">
      <w:pPr>
        <w:spacing w:after="0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   </w:t>
      </w:r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Garanzia base: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furto e rapina;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furto con dolo o colpa grave dai domestici (scoperto 20% e max € 1.500)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truffa fra le mura domestiche per &lt;18 anni e =&gt;65 anni (max € 1.500);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furto di fissi ed infissi delle parti comuni e danni agli stessi causati dai ladri;</w:t>
      </w:r>
    </w:p>
    <w:p w:rsidR="006341FF" w:rsidRDefault="00CE07AC" w:rsidP="00CE07AC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installazione o potenziamento mezzi di chiusura dopo il furto (max 5% della somma assicurata, </w:t>
      </w:r>
    </w:p>
    <w:p w:rsidR="00CE07AC" w:rsidRPr="00CE07AC" w:rsidRDefault="006341FF" w:rsidP="006341FF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    </w:t>
      </w:r>
      <w:r w:rsidR="00CE07AC"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minimo € 500);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oggetti, vestiario, preziosi e valori in villeggiatura in Europa (max 30% del contenuto e solo per dimora abituale);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vitto e alloggio per sopralluoghi peritali (max 10% del contenuto e solo per dimora saltuaria);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furto perpetrato utilizzando mezzi di chiusura non conformi: scoperto 20% (30% se dimora saltuaria);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furto perpetrato con mezzi di chiusura non operanti e con presenza in casa del Contraente o componenti del suo nucleo familiare: franchigia € 100;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furto per tramite di impalcature: scoperto 20%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furto con destrezza (franchigia € 75 e max 10% della somma assicurata con il minimo di € 150);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furto in dimora saltuaria durante il periodo di disabitazione: scoperto 20%;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danni indiretti forfettari pari al 10% dell’indennizzo;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hanging="218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indennità aggiuntiva per furto dell’auto nel box (€ 1.000 e se assicurata con Reale Mutua);</w:t>
      </w:r>
    </w:p>
    <w:p w:rsidR="00CE07AC" w:rsidRPr="00CE07AC" w:rsidRDefault="00CE07AC" w:rsidP="00CE07AC">
      <w:pPr>
        <w:numPr>
          <w:ilvl w:val="0"/>
          <w:numId w:val="19"/>
        </w:numPr>
        <w:spacing w:after="0"/>
        <w:ind w:left="142" w:firstLine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Limiti di indennizzo:</w:t>
      </w:r>
    </w:p>
    <w:p w:rsidR="00CE07AC" w:rsidRPr="00CE07AC" w:rsidRDefault="00CE07AC" w:rsidP="00CE07AC">
      <w:pPr>
        <w:numPr>
          <w:ilvl w:val="0"/>
          <w:numId w:val="22"/>
        </w:num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Preziosi, raccolte e collezioni, carte valori e titoli di credito: max 50% (15% se a valore intero) della somma assicurata con il massimo di € 20.000;</w:t>
      </w:r>
    </w:p>
    <w:p w:rsidR="00CE07AC" w:rsidRPr="00CE07AC" w:rsidRDefault="00CE07AC" w:rsidP="00CE07AC">
      <w:pPr>
        <w:numPr>
          <w:ilvl w:val="0"/>
          <w:numId w:val="22"/>
        </w:numPr>
        <w:spacing w:after="0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Denaro: max 7% (5% se a valore intero) della somma assicurata;</w:t>
      </w:r>
    </w:p>
    <w:p w:rsidR="00CE07AC" w:rsidRPr="00CE07AC" w:rsidRDefault="00CE07AC" w:rsidP="00CE07AC">
      <w:pPr>
        <w:numPr>
          <w:ilvl w:val="0"/>
          <w:numId w:val="22"/>
        </w:num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Pellicce, tappeti, arazzi, quadri, sculture e simili oggetti d’arte, orologi da polso e da tasca, oggetti e servizi di argenteria: max 60% della somma assicurata per singolo oggetto con il massimo di € 35.000;</w:t>
      </w:r>
    </w:p>
    <w:p w:rsidR="00CE07AC" w:rsidRPr="00CE07AC" w:rsidRDefault="00CE07AC" w:rsidP="00CE07AC">
      <w:pPr>
        <w:numPr>
          <w:ilvl w:val="0"/>
          <w:numId w:val="22"/>
        </w:num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 xml:space="preserve">Beni in locali non comunicanti con l’abitazione (boxes e cantine): max 10% della somma </w:t>
      </w:r>
      <w:r w:rsidR="006341FF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a</w:t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ssicurata.</w:t>
      </w:r>
    </w:p>
    <w:p w:rsidR="00CE07AC" w:rsidRPr="00CE07AC" w:rsidRDefault="00CE07AC" w:rsidP="00CE07AC">
      <w:pPr>
        <w:spacing w:after="0"/>
        <w:ind w:left="38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>Qualora i preziosi, denaro, raccolte e collezioni, carte valori e titoli di credito siano custoditi in cassaforte, i limiti di indennizzo si intendono elevati del 50% (100% se a valore intero);</w:t>
      </w:r>
    </w:p>
    <w:tbl>
      <w:tblPr>
        <w:tblW w:w="10224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3"/>
        <w:gridCol w:w="1701"/>
        <w:gridCol w:w="160"/>
      </w:tblGrid>
      <w:tr w:rsidR="00CE07AC" w:rsidRPr="00CE07AC" w:rsidTr="00D1397D">
        <w:trPr>
          <w:gridAfter w:val="1"/>
          <w:wAfter w:w="160" w:type="dxa"/>
          <w:cantSplit/>
        </w:trPr>
        <w:tc>
          <w:tcPr>
            <w:tcW w:w="10064" w:type="dxa"/>
            <w:gridSpan w:val="2"/>
            <w:tcBorders>
              <w:bottom w:val="single" w:sz="12" w:space="0" w:color="000000"/>
            </w:tcBorders>
          </w:tcPr>
          <w:p w:rsidR="00CE07AC" w:rsidRPr="00CE07AC" w:rsidRDefault="00CE07AC" w:rsidP="00D1397D">
            <w:pPr>
              <w:keepNext/>
              <w:spacing w:before="240" w:after="60"/>
              <w:outlineLvl w:val="3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SEZIONE DANNI A TERZI</w:t>
            </w:r>
          </w:p>
        </w:tc>
      </w:tr>
      <w:tr w:rsidR="00CE07AC" w:rsidRPr="00CE07AC" w:rsidTr="00D1397D">
        <w:tc>
          <w:tcPr>
            <w:tcW w:w="10064" w:type="dxa"/>
            <w:gridSpan w:val="2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Garanzia Capofamiglia (Assicurato il Contraente ed il suo nucleo familiare)  :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(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)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Responsabilità civile derivante all’Assicurato nell’ambito della vita privata e di relazione;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Pratica di sport in qualità di dilettante, attività ricreative, di volontariato ed altre attività non retribuite;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proprietà ed utilizzo di animali domestici;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danni subìti (lesioni personali e morte) da collaboratori domestici, anche per rivalse INAIL ed INPS;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proprietà ed uso di biciclette, barche senza motore, giocattoli anche a motore;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esecuzione di lavori di ordinaria e straordinaria manutenzione ai locali abitati dall’Assicurato quando quest’ultimo sia il committente;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proprietà ed uso di armi;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danni da inquinamento (max € 50.000);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lastRenderedPageBreak/>
              <w:t>Assicurato in qualità di trasportato su veicoli;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Danni a terzi a seguito di messa in circolazione da parte di figli minorenni, ad insaputa dell’Assicurato, di veicoli a motore o natanti;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Proprietà e/o uso esclusivamente in aree private di roulottes, tende, camper, autocaravan, carrelli trainabili;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Danni a cose di terzi anche in consegna o custodia da incendio, esplosione e scoppio di cose dell’Assicurato o da lui detenute.</w:t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Garanzia conduzione dell’abitazione -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per le ubicazioni n°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>1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Garanzia proprietà di fabbricati 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-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per le ubicazioni n°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>1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dei fabbricati, cantine, tettoie, boxes, recinzioni, cancelli e muri di contenimento, piscine ed impianti sportivi, antenne radiotelericeventi e satellitari fissate al fabbricato, parchi, giardini, alberi ed aree scoperte;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Proprietà del fabbricato assicurato, compresi giardini, alberi e parchi;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Danni a terzi da incendio del fabbricato (max 30% del massimale);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Spargimenti di acqua per rottura accidentale od occlusione di tubazioni (franchigia € 50 e max indennizzo € 30.000);</w:t>
            </w:r>
          </w:p>
          <w:p w:rsidR="00CE07AC" w:rsidRPr="00CE07AC" w:rsidRDefault="00CE07AC" w:rsidP="00CE07AC">
            <w:pPr>
              <w:numPr>
                <w:ilvl w:val="0"/>
                <w:numId w:val="18"/>
              </w:num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danni da inquinamento fino a € 50.000;</w:t>
            </w:r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CE07AC" w:rsidRPr="00CE07AC" w:rsidTr="00D1397D">
        <w:trPr>
          <w:gridAfter w:val="1"/>
          <w:wAfter w:w="160" w:type="dxa"/>
        </w:trPr>
        <w:tc>
          <w:tcPr>
            <w:tcW w:w="8363" w:type="dxa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lastRenderedPageBreak/>
              <w:t>Massimali di Responsabilità Civile verso terzi e verso i dipendenti:</w:t>
            </w:r>
          </w:p>
        </w:tc>
        <w:tc>
          <w:tcPr>
            <w:tcW w:w="1701" w:type="dxa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  <w:tr w:rsidR="00CE07AC" w:rsidRPr="00CE07AC" w:rsidTr="00D1397D">
        <w:trPr>
          <w:gridAfter w:val="1"/>
          <w:wAfter w:w="160" w:type="dxa"/>
        </w:trPr>
        <w:tc>
          <w:tcPr>
            <w:tcW w:w="8363" w:type="dxa"/>
            <w:tcBorders>
              <w:top w:val="single" w:sz="6" w:space="0" w:color="000000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Per ogni sinistro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bookmarkStart w:id="9" w:name="Testo11"/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</w:tr>
      <w:tr w:rsidR="00CE07AC" w:rsidRPr="00CE07AC" w:rsidTr="00D1397D">
        <w:trPr>
          <w:gridAfter w:val="1"/>
          <w:wAfter w:w="160" w:type="dxa"/>
        </w:trPr>
        <w:tc>
          <w:tcPr>
            <w:tcW w:w="8363" w:type="dxa"/>
            <w:tcBorders>
              <w:top w:val="single" w:sz="6" w:space="0" w:color="000000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Per ogni persona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bookmarkStart w:id="10" w:name="Testo12"/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</w:tr>
      <w:tr w:rsidR="00CE07AC" w:rsidRPr="00CE07AC" w:rsidTr="00D1397D">
        <w:trPr>
          <w:gridAfter w:val="1"/>
          <w:wAfter w:w="160" w:type="dxa"/>
        </w:trPr>
        <w:tc>
          <w:tcPr>
            <w:tcW w:w="8363" w:type="dxa"/>
            <w:tcBorders>
              <w:top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Per danni a cose 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bookmarkStart w:id="11" w:name="Testo13"/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</w:tr>
    </w:tbl>
    <w:p w:rsidR="00CE07AC" w:rsidRPr="00CE07AC" w:rsidRDefault="00CE07AC" w:rsidP="00CE07A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10508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4"/>
        <w:gridCol w:w="284"/>
        <w:gridCol w:w="160"/>
      </w:tblGrid>
      <w:tr w:rsidR="00CE07AC" w:rsidRPr="00CE07AC" w:rsidTr="00D1397D">
        <w:trPr>
          <w:gridAfter w:val="2"/>
          <w:wAfter w:w="444" w:type="dxa"/>
          <w:cantSplit/>
        </w:trPr>
        <w:tc>
          <w:tcPr>
            <w:tcW w:w="10064" w:type="dxa"/>
            <w:tcBorders>
              <w:bottom w:val="single" w:sz="12" w:space="0" w:color="000000"/>
            </w:tcBorders>
          </w:tcPr>
          <w:p w:rsidR="00CE07AC" w:rsidRPr="00CE07AC" w:rsidRDefault="00CE07AC" w:rsidP="00D1397D">
            <w:pPr>
              <w:keepNext/>
              <w:spacing w:before="240" w:after="60"/>
              <w:outlineLvl w:val="3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SEZIONE TUTELA GIUDIZIARIA  (</w:t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)</w:t>
            </w:r>
          </w:p>
        </w:tc>
      </w:tr>
      <w:tr w:rsidR="00CE07AC" w:rsidRPr="00CE07AC" w:rsidTr="00D1397D">
        <w:tc>
          <w:tcPr>
            <w:tcW w:w="10348" w:type="dxa"/>
            <w:gridSpan w:val="2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Cs/>
                <w:color w:val="17365D" w:themeColor="text2" w:themeShade="BF"/>
                <w:sz w:val="18"/>
                <w:szCs w:val="18"/>
                <w:lang w:eastAsia="it-IT"/>
              </w:rPr>
              <w:t>Spese per intervento di un legale incaricato dall’Assicurato o da Reale Mutua, spese del legale di controparte in caso di soccombenza o transazione autorizzata, spese di intervento del consulente tecnico d’ufficio o di parte, spese processuali nel processo penale, spese di giustizia, Contributo unificato per spese degli atti giudiziari, per:</w:t>
            </w:r>
          </w:p>
          <w:p w:rsidR="00CE07AC" w:rsidRPr="00CE07AC" w:rsidRDefault="00CE07AC" w:rsidP="00D1397D">
            <w:pPr>
              <w:spacing w:after="0"/>
              <w:ind w:left="360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A - Vita privata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Sostenere l’esercizio di pretese di risarcimento per danni a cose o persone per fatti illeciti di terzi;</w:t>
            </w:r>
          </w:p>
          <w:p w:rsidR="00CE07AC" w:rsidRPr="006341FF" w:rsidRDefault="00CE07AC" w:rsidP="00D1397D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6341F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Controversie per inadempienze contrattuali proprie o di controparte: valore di lite almeno € 400 (€ 100 se in Italia) e limite di </w:t>
            </w:r>
            <w:r w:rsidR="006341F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r w:rsidRPr="006341F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52.000, in Unione Europea;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Sostenere controversie individuali relative a rapporti di lavoro con domestici regolarmente assunti;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Difesa in procedimenti penali per delitti colposi o contravvenzioni;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Controversie con Istituti od Enti Pubblici di Previdenza Sociale;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Pretese derivanti da incidenti stradali come ciclisti e pedoni o alla guida di veicoli non soggetti all’assicurazione obbligatoria o come trasportati su veicoli pubblici o privati;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Arbitrati o controversie per danni a terzi per fatti illeciti dell’Assicurato;</w:t>
            </w:r>
          </w:p>
          <w:p w:rsidR="006341FF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Opposizione al giudice ordinario di 1° grado per  ingiunzione di pagamento sanzione amministrativa =&gt; </w:t>
            </w:r>
          </w:p>
          <w:p w:rsidR="00CE07AC" w:rsidRPr="00CE07AC" w:rsidRDefault="00CE07AC" w:rsidP="006341FF">
            <w:pPr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€ 200;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Ricorso per separazione consensuale dei coniugi e domanda di divorzio;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Istanza di interdizione o inabilitazione di un parente;</w:t>
            </w:r>
          </w:p>
          <w:p w:rsidR="00CE07AC" w:rsidRPr="00CE07AC" w:rsidRDefault="00CE07AC" w:rsidP="00D1397D">
            <w:pPr>
              <w:spacing w:after="0"/>
              <w:ind w:left="42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B – Lavoro dipendente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Controversie individuali relative al rapporto di lavoro dipendente.</w:t>
            </w:r>
          </w:p>
          <w:p w:rsidR="00CE07AC" w:rsidRPr="00CE07AC" w:rsidRDefault="00CE07AC" w:rsidP="00D1397D">
            <w:pPr>
              <w:spacing w:after="0"/>
              <w:ind w:left="42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C – Abitazione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Controversie per diritti reali o di locazione;</w:t>
            </w:r>
          </w:p>
          <w:p w:rsidR="00CE07AC" w:rsidRPr="00CE07AC" w:rsidRDefault="00CE07AC" w:rsidP="00CE07AC">
            <w:pPr>
              <w:numPr>
                <w:ilvl w:val="0"/>
                <w:numId w:val="16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Controversie per inadempienze contrattuali proprie o di controparte: valore lite superiore a € 100 ed inferiore a € 52.000. </w:t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Pagamento diretto di Reale Mutua – ARAG al legale incaricato delle parcelle emesse</w:t>
            </w:r>
            <w:r w:rsidR="006341FF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>.</w:t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Operatività della garanzia: massimale € </w:t>
            </w:r>
            <w:bookmarkStart w:id="12" w:name="Elenco7"/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non operante"/>
                    <w:listEntry w:val="10.000"/>
                    <w:listEntry w:val="15.000"/>
                    <w:listEntry w:val="20.000"/>
                    <w:listEntry w:val="30.000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</w:tbl>
    <w:p w:rsidR="00CE07AC" w:rsidRPr="00CE07AC" w:rsidRDefault="00CE07AC" w:rsidP="00CE07A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10508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6"/>
        <w:gridCol w:w="142"/>
        <w:gridCol w:w="160"/>
      </w:tblGrid>
      <w:tr w:rsidR="00CE07AC" w:rsidRPr="00CE07AC" w:rsidTr="00D1397D">
        <w:trPr>
          <w:gridAfter w:val="2"/>
          <w:wAfter w:w="302" w:type="dxa"/>
          <w:cantSplit/>
        </w:trPr>
        <w:tc>
          <w:tcPr>
            <w:tcW w:w="10206" w:type="dxa"/>
            <w:tcBorders>
              <w:bottom w:val="single" w:sz="12" w:space="0" w:color="000000"/>
            </w:tcBorders>
          </w:tcPr>
          <w:p w:rsidR="00CE07AC" w:rsidRPr="00CE07AC" w:rsidRDefault="00CE07AC" w:rsidP="00D1397D">
            <w:pPr>
              <w:keepNext/>
              <w:spacing w:before="240" w:after="60"/>
              <w:outlineLvl w:val="3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SEZIONE ASSISTENZA  (</w:t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)</w:t>
            </w:r>
          </w:p>
        </w:tc>
      </w:tr>
      <w:tr w:rsidR="00CE07AC" w:rsidRPr="00CE07AC" w:rsidTr="00D1397D">
        <w:tc>
          <w:tcPr>
            <w:tcW w:w="10348" w:type="dxa"/>
            <w:gridSpan w:val="2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Garanzia Assistenza Base:</w:t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Intervento di emergenza, telefonando al numero verde 800-092092 dall’Italia; 011-7425555 dall’estero, per l’invio immediato di un idraulico, termoidraulico, elettricista, fabbro o falegname, vetraio, pernottamento in albergo, rientro anticipato, invio di collaboratrice domestica. </w:t>
            </w:r>
          </w:p>
          <w:p w:rsidR="00CE07AC" w:rsidRPr="00CE07AC" w:rsidRDefault="00CE07AC" w:rsidP="00D1397D">
            <w:pPr>
              <w:tabs>
                <w:tab w:val="num" w:pos="420"/>
              </w:tabs>
              <w:spacing w:after="0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FORMCHECKBOX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Garanzia Assistenza Top:</w:t>
            </w:r>
          </w:p>
          <w:p w:rsidR="00CE07AC" w:rsidRPr="00CE07AC" w:rsidRDefault="00CE07AC" w:rsidP="00D1397D">
            <w:pPr>
              <w:spacing w:after="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Oltre alla Garanzia Base, invio di un tecnico riparatore di elettrodomestici, trasporto di elettrodomestici, recupero del veicolo, proseguimento viaggio, salvataggio beni assicurati, recupero dati informatici. </w:t>
            </w:r>
          </w:p>
        </w:tc>
        <w:tc>
          <w:tcPr>
            <w:tcW w:w="160" w:type="dxa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</w:tbl>
    <w:p w:rsidR="00CE07AC" w:rsidRPr="00CE07AC" w:rsidRDefault="00CE07AC" w:rsidP="00CE07A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10072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12"/>
        <w:gridCol w:w="152"/>
        <w:gridCol w:w="8"/>
      </w:tblGrid>
      <w:tr w:rsidR="00CE07AC" w:rsidRPr="00CE07AC" w:rsidTr="00D1397D">
        <w:trPr>
          <w:gridAfter w:val="1"/>
          <w:wAfter w:w="8" w:type="dxa"/>
          <w:cantSplit/>
          <w:trHeight w:val="570"/>
        </w:trPr>
        <w:tc>
          <w:tcPr>
            <w:tcW w:w="1006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E07AC" w:rsidRPr="00CE07AC" w:rsidRDefault="00CE07AC" w:rsidP="00D1397D">
            <w:pPr>
              <w:keepNext/>
              <w:spacing w:before="240" w:after="60"/>
              <w:outlineLvl w:val="3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lastRenderedPageBreak/>
              <w:t>LA DURATA</w:t>
            </w:r>
          </w:p>
        </w:tc>
      </w:tr>
      <w:tr w:rsidR="00CE07AC" w:rsidRPr="00CE07AC" w:rsidTr="00D1397D">
        <w:trPr>
          <w:trHeight w:val="270"/>
        </w:trPr>
        <w:tc>
          <w:tcPr>
            <w:tcW w:w="9912" w:type="dxa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ind w:left="60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La durata del contratto è fissata in anni 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3" w:name="Testo23"/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noProof/>
                <w:color w:val="17365D" w:themeColor="text2" w:themeShade="BF"/>
                <w:sz w:val="18"/>
                <w:szCs w:val="18"/>
                <w:lang w:eastAsia="it-IT"/>
              </w:rPr>
              <w:t>1</w:t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3"/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più eventuale rateo</w:t>
            </w:r>
          </w:p>
        </w:tc>
        <w:tc>
          <w:tcPr>
            <w:tcW w:w="160" w:type="dxa"/>
            <w:gridSpan w:val="2"/>
            <w:tcBorders>
              <w:top w:val="nil"/>
              <w:bottom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</w:p>
        </w:tc>
      </w:tr>
    </w:tbl>
    <w:p w:rsidR="00CE07AC" w:rsidRPr="00CE07AC" w:rsidRDefault="00CE07AC" w:rsidP="00CE07A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tbl>
      <w:tblPr>
        <w:tblW w:w="10064" w:type="dxa"/>
        <w:tblInd w:w="21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2268"/>
      </w:tblGrid>
      <w:tr w:rsidR="00CE07AC" w:rsidRPr="00CE07AC" w:rsidTr="00D1397D">
        <w:trPr>
          <w:cantSplit/>
        </w:trPr>
        <w:tc>
          <w:tcPr>
            <w:tcW w:w="10064" w:type="dxa"/>
            <w:gridSpan w:val="2"/>
            <w:tcBorders>
              <w:bottom w:val="single" w:sz="12" w:space="0" w:color="000000"/>
            </w:tcBorders>
          </w:tcPr>
          <w:p w:rsidR="00CE07AC" w:rsidRPr="00CE07AC" w:rsidRDefault="00CE07AC" w:rsidP="00D1397D">
            <w:pPr>
              <w:keepNext/>
              <w:spacing w:before="240" w:after="60"/>
              <w:outlineLvl w:val="3"/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bCs/>
                <w:color w:val="17365D" w:themeColor="text2" w:themeShade="BF"/>
                <w:sz w:val="18"/>
                <w:szCs w:val="18"/>
                <w:lang w:eastAsia="it-IT"/>
              </w:rPr>
              <w:t>IL PREMIO</w:t>
            </w:r>
          </w:p>
        </w:tc>
      </w:tr>
      <w:tr w:rsidR="00CE07AC" w:rsidRPr="00CE07AC" w:rsidTr="00D1397D">
        <w:tc>
          <w:tcPr>
            <w:tcW w:w="7796" w:type="dxa"/>
            <w:tcBorders>
              <w:top w:val="single" w:sz="6" w:space="0" w:color="000000"/>
            </w:tcBorders>
          </w:tcPr>
          <w:p w:rsidR="00CE07AC" w:rsidRPr="00CE07AC" w:rsidRDefault="00CE07AC" w:rsidP="00D1397D">
            <w:pPr>
              <w:spacing w:before="240" w:after="60"/>
              <w:outlineLvl w:val="8"/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Premio  </w:t>
            </w:r>
            <w:bookmarkStart w:id="14" w:name="Elenco9"/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annuale"/>
                    <w:listEntry w:val="semestrale"/>
                  </w:ddList>
                </w:ffData>
              </w:fldChar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instrText xml:space="preserve"> FORMDROPDOWN </w:instrText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</w:r>
            <w:r w:rsidR="003E3965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4"/>
            <w:r w:rsidRPr="00CE07AC">
              <w:rPr>
                <w:rFonts w:ascii="Verdana" w:eastAsia="Meiryo UI" w:hAnsi="Verdana" w:cs="Utsaah"/>
                <w:color w:val="17365D" w:themeColor="text2" w:themeShade="BF"/>
                <w:sz w:val="18"/>
                <w:szCs w:val="18"/>
                <w:lang w:eastAsia="it-IT"/>
              </w:rPr>
              <w:t xml:space="preserve"> lordo 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</w:p>
          <w:p w:rsidR="00CE07AC" w:rsidRPr="00CE07AC" w:rsidRDefault="00CE07AC" w:rsidP="00D1397D">
            <w:pPr>
              <w:spacing w:after="0"/>
              <w:jc w:val="center"/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pP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 xml:space="preserve">€ </w:t>
            </w:r>
            <w:bookmarkStart w:id="15" w:name="Testo18"/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separate"/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t>100,00</w:t>
            </w:r>
            <w:r w:rsidRPr="00CE07AC">
              <w:rPr>
                <w:rFonts w:ascii="Verdana" w:eastAsia="Meiryo UI" w:hAnsi="Verdana" w:cs="Utsaah"/>
                <w:b/>
                <w:color w:val="17365D" w:themeColor="text2" w:themeShade="BF"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</w:tbl>
    <w:p w:rsidR="00CE07AC" w:rsidRPr="00CE07AC" w:rsidRDefault="00CE07AC" w:rsidP="00CE07AC">
      <w:pPr>
        <w:spacing w:after="0"/>
        <w:ind w:left="142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</w:p>
    <w:p w:rsidR="00CE07AC" w:rsidRPr="00CE07AC" w:rsidRDefault="00CE07AC" w:rsidP="00CE07AC">
      <w:pPr>
        <w:spacing w:after="0"/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color w:val="17365D" w:themeColor="text2" w:themeShade="BF"/>
          <w:sz w:val="18"/>
          <w:szCs w:val="18"/>
          <w:lang w:eastAsia="it-IT"/>
        </w:rPr>
        <w:tab/>
      </w:r>
    </w:p>
    <w:p w:rsidR="00CE07AC" w:rsidRPr="00CE07AC" w:rsidRDefault="00CE07AC" w:rsidP="00CE07AC">
      <w:pPr>
        <w:spacing w:after="0"/>
        <w:ind w:left="5664"/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b/>
          <w:color w:val="17365D" w:themeColor="text2" w:themeShade="BF"/>
          <w:sz w:val="18"/>
          <w:szCs w:val="18"/>
          <w:lang w:eastAsia="it-IT"/>
        </w:rPr>
        <w:t>REALE MUTUA ASSICURAZIONI</w:t>
      </w:r>
    </w:p>
    <w:p w:rsidR="00CE07AC" w:rsidRPr="00CE07AC" w:rsidRDefault="00CE07AC" w:rsidP="00CE07AC">
      <w:pPr>
        <w:spacing w:after="0"/>
        <w:rPr>
          <w:rFonts w:ascii="Verdana" w:eastAsia="Meiryo UI" w:hAnsi="Verdana" w:cs="Utsaah"/>
          <w:sz w:val="18"/>
          <w:szCs w:val="18"/>
          <w:lang w:eastAsia="it-IT"/>
        </w:rPr>
      </w:pP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  <w:t xml:space="preserve"> </w:t>
      </w: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</w:r>
      <w:r w:rsidRPr="00CE07AC">
        <w:rPr>
          <w:rFonts w:ascii="Verdana" w:eastAsia="Meiryo UI" w:hAnsi="Verdana" w:cs="Utsaah"/>
          <w:sz w:val="18"/>
          <w:szCs w:val="18"/>
          <w:lang w:eastAsia="it-IT"/>
        </w:rPr>
        <w:tab/>
      </w:r>
    </w:p>
    <w:p w:rsidR="00CE07AC" w:rsidRPr="00CE07AC" w:rsidRDefault="00CE07AC" w:rsidP="00CE07AC">
      <w:pPr>
        <w:pStyle w:val="Paragrafobase"/>
        <w:suppressAutoHyphens/>
        <w:jc w:val="both"/>
        <w:rPr>
          <w:rFonts w:ascii="Verdana" w:hAnsi="Verdana" w:cs="Calibri"/>
          <w:color w:val="262626" w:themeColor="text1" w:themeTint="D9"/>
          <w:sz w:val="18"/>
          <w:szCs w:val="18"/>
        </w:rPr>
      </w:pPr>
    </w:p>
    <w:p w:rsidR="00CE07AC" w:rsidRDefault="00CE07AC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2E7181" w:rsidRDefault="002E718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2E7181" w:rsidRDefault="002E718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2E7181" w:rsidRDefault="002E718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2E7181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65" w:rsidRDefault="003E3965">
      <w:pPr>
        <w:spacing w:after="0"/>
      </w:pPr>
      <w:r>
        <w:separator/>
      </w:r>
    </w:p>
  </w:endnote>
  <w:endnote w:type="continuationSeparator" w:id="0">
    <w:p w:rsidR="003E3965" w:rsidRDefault="003E39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9BC3499" wp14:editId="043A9851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2F1B52D9" wp14:editId="46461E68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B0951E1" wp14:editId="7F96CCE5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65" w:rsidRDefault="003E3965">
      <w:pPr>
        <w:spacing w:after="0"/>
      </w:pPr>
      <w:r>
        <w:separator/>
      </w:r>
    </w:p>
  </w:footnote>
  <w:footnote w:type="continuationSeparator" w:id="0">
    <w:p w:rsidR="003E3965" w:rsidRDefault="003E3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6F220E2" wp14:editId="21E4668E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523F1101" wp14:editId="587C2EC6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85"/>
    <w:multiLevelType w:val="hybridMultilevel"/>
    <w:tmpl w:val="6DFE1D9E"/>
    <w:lvl w:ilvl="0" w:tplc="404AE6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5B61B7"/>
    <w:multiLevelType w:val="hybridMultilevel"/>
    <w:tmpl w:val="DCF65CBE"/>
    <w:lvl w:ilvl="0" w:tplc="F97C8B56">
      <w:numFmt w:val="bullet"/>
      <w:lvlText w:val="-"/>
      <w:lvlJc w:val="left"/>
      <w:pPr>
        <w:ind w:left="742" w:hanging="360"/>
      </w:pPr>
      <w:rPr>
        <w:rFonts w:ascii="Calibri" w:eastAsia="Time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6">
    <w:nsid w:val="0A825277"/>
    <w:multiLevelType w:val="hybridMultilevel"/>
    <w:tmpl w:val="FB4E84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9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2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926FF"/>
    <w:multiLevelType w:val="hybridMultilevel"/>
    <w:tmpl w:val="DFE4E4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8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40111E"/>
    <w:multiLevelType w:val="hybridMultilevel"/>
    <w:tmpl w:val="DA4074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3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22"/>
  </w:num>
  <w:num w:numId="6">
    <w:abstractNumId w:val="7"/>
  </w:num>
  <w:num w:numId="7">
    <w:abstractNumId w:val="23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24"/>
  </w:num>
  <w:num w:numId="13">
    <w:abstractNumId w:val="9"/>
  </w:num>
  <w:num w:numId="14">
    <w:abstractNumId w:val="10"/>
  </w:num>
  <w:num w:numId="15">
    <w:abstractNumId w:val="20"/>
  </w:num>
  <w:num w:numId="16">
    <w:abstractNumId w:val="21"/>
  </w:num>
  <w:num w:numId="17">
    <w:abstractNumId w:val="3"/>
  </w:num>
  <w:num w:numId="18">
    <w:abstractNumId w:val="15"/>
  </w:num>
  <w:num w:numId="19">
    <w:abstractNumId w:val="1"/>
  </w:num>
  <w:num w:numId="20">
    <w:abstractNumId w:val="2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2Goelx7oczNDelK6OWd5g0Nspy4=" w:salt="yBU7YPeJ/ZWxDh3LZQNSd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1D6776"/>
    <w:rsid w:val="00205AA9"/>
    <w:rsid w:val="00264B3C"/>
    <w:rsid w:val="002741C9"/>
    <w:rsid w:val="00284210"/>
    <w:rsid w:val="002A51EF"/>
    <w:rsid w:val="002B7C72"/>
    <w:rsid w:val="002B7E40"/>
    <w:rsid w:val="002C27AF"/>
    <w:rsid w:val="002C7B90"/>
    <w:rsid w:val="002D466B"/>
    <w:rsid w:val="002D72F6"/>
    <w:rsid w:val="002E7181"/>
    <w:rsid w:val="002F65FC"/>
    <w:rsid w:val="0031243A"/>
    <w:rsid w:val="00314EFD"/>
    <w:rsid w:val="003E3965"/>
    <w:rsid w:val="003F592D"/>
    <w:rsid w:val="00411B89"/>
    <w:rsid w:val="00462526"/>
    <w:rsid w:val="00513AD0"/>
    <w:rsid w:val="00525B45"/>
    <w:rsid w:val="0058773A"/>
    <w:rsid w:val="005C3FB8"/>
    <w:rsid w:val="006341FF"/>
    <w:rsid w:val="006506A4"/>
    <w:rsid w:val="006C15F1"/>
    <w:rsid w:val="0072271D"/>
    <w:rsid w:val="00726109"/>
    <w:rsid w:val="00760AFE"/>
    <w:rsid w:val="007C1182"/>
    <w:rsid w:val="007E45FB"/>
    <w:rsid w:val="00816407"/>
    <w:rsid w:val="0087078B"/>
    <w:rsid w:val="008B6136"/>
    <w:rsid w:val="008D0EA3"/>
    <w:rsid w:val="0090674C"/>
    <w:rsid w:val="0095647A"/>
    <w:rsid w:val="00970D0D"/>
    <w:rsid w:val="00981F13"/>
    <w:rsid w:val="009B5874"/>
    <w:rsid w:val="009C4E37"/>
    <w:rsid w:val="009E6A5F"/>
    <w:rsid w:val="00A13EBD"/>
    <w:rsid w:val="00A45EF1"/>
    <w:rsid w:val="00A91180"/>
    <w:rsid w:val="00A92193"/>
    <w:rsid w:val="00AB4AB1"/>
    <w:rsid w:val="00AC324B"/>
    <w:rsid w:val="00AC4A78"/>
    <w:rsid w:val="00AE00D6"/>
    <w:rsid w:val="00B02242"/>
    <w:rsid w:val="00B977B9"/>
    <w:rsid w:val="00BA460A"/>
    <w:rsid w:val="00BC6946"/>
    <w:rsid w:val="00BE21AD"/>
    <w:rsid w:val="00BF3CC7"/>
    <w:rsid w:val="00C10362"/>
    <w:rsid w:val="00CB44C1"/>
    <w:rsid w:val="00CD0DE3"/>
    <w:rsid w:val="00CE07AC"/>
    <w:rsid w:val="00CE3B4F"/>
    <w:rsid w:val="00D24EEE"/>
    <w:rsid w:val="00D36463"/>
    <w:rsid w:val="00D37827"/>
    <w:rsid w:val="00D53591"/>
    <w:rsid w:val="00DB7254"/>
    <w:rsid w:val="00DC1C8D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2082B"/>
    <w:rsid w:val="00F57076"/>
    <w:rsid w:val="00F72CE3"/>
    <w:rsid w:val="00F93711"/>
    <w:rsid w:val="00FC49EF"/>
    <w:rsid w:val="00FD196E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11</cp:revision>
  <cp:lastPrinted>2016-01-06T10:49:00Z</cp:lastPrinted>
  <dcterms:created xsi:type="dcterms:W3CDTF">2016-01-07T08:37:00Z</dcterms:created>
  <dcterms:modified xsi:type="dcterms:W3CDTF">2016-04-02T06:21:00Z</dcterms:modified>
</cp:coreProperties>
</file>